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VISUALSUPPORT 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Zajmujemy się multimedialną realizacją takich wydarzeń jak: konferencje i kongresy, festiwale i koncerty, mappingi, wydarzenia plenerowe (kulturalne, sportowe, religijne), targi, gale, pokazy mody. Współpracujemy z teatrami, instytucjami kultury, dostarczamy multimedia na potrzeby festiwali światła. Funkcjonujemy na rynku nieprzerwanie od 2008 roku. Dzięki najbardziej kreatywnym i innowacyjnym rozwiązaniom multimedialnym, wszystkie produkowane przez nas wydarzenia są wyjątkowe i niepowtarzalne.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Po więcej informacji zapraszamy na: </w:t>
      </w:r>
      <w:hyperlink r:id="rId6">
        <w:r w:rsidDel="00000000" w:rsidR="00000000" w:rsidRPr="00000000">
          <w:rPr>
            <w:b w:val="1"/>
            <w:color w:val="0067c2"/>
            <w:sz w:val="21"/>
            <w:szCs w:val="21"/>
            <w:highlight w:val="white"/>
            <w:u w:val="single"/>
            <w:rtl w:val="0"/>
          </w:rPr>
          <w:t xml:space="preserve">naszą stronę internetową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Serwisant - Magazynier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Opis stanowiska: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Serwisant - Magazynier zajmuje się serwisem urządzeń multimedialnych, głównie ekranami LED (np. lutowanie) oraz pomocą w codziennym funkcjonowaniu magazynu sprzętu multimedialnego.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Podstawowe obowiązki: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1. </w:t>
      </w:r>
      <w:r w:rsidDel="00000000" w:rsidR="00000000" w:rsidRPr="00000000">
        <w:rPr>
          <w:color w:val="222222"/>
          <w:rtl w:val="0"/>
        </w:rPr>
        <w:t xml:space="preserve">Serwis urządzeń multimedialnych, głównie ekranów LED </w:t>
      </w:r>
    </w:p>
    <w:p w:rsidR="00000000" w:rsidDel="00000000" w:rsidP="00000000" w:rsidRDefault="00000000" w:rsidRPr="00000000" w14:paraId="0000000E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2. Przygotowanie i wydawanie sprzętu</w:t>
      </w:r>
    </w:p>
    <w:p w:rsidR="00000000" w:rsidDel="00000000" w:rsidP="00000000" w:rsidRDefault="00000000" w:rsidRPr="00000000" w14:paraId="0000000F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3. Przyjmowanie dostaw i rozładunek sprzętu</w:t>
      </w:r>
    </w:p>
    <w:p w:rsidR="00000000" w:rsidDel="00000000" w:rsidP="00000000" w:rsidRDefault="00000000" w:rsidRPr="00000000" w14:paraId="00000010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4. Utrzymanie porządku na magazynie</w:t>
      </w:r>
    </w:p>
    <w:p w:rsidR="00000000" w:rsidDel="00000000" w:rsidP="00000000" w:rsidRDefault="00000000" w:rsidRPr="00000000" w14:paraId="00000011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Nasze oczekiwania:</w:t>
      </w:r>
    </w:p>
    <w:p w:rsidR="00000000" w:rsidDel="00000000" w:rsidP="00000000" w:rsidRDefault="00000000" w:rsidRPr="00000000" w14:paraId="00000013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1. Podstawowa znajomość elektronarzędzi</w:t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2. Umiejętności czytania schematów elektronicznych </w:t>
      </w:r>
    </w:p>
    <w:p w:rsidR="00000000" w:rsidDel="00000000" w:rsidP="00000000" w:rsidRDefault="00000000" w:rsidRPr="00000000" w14:paraId="00000015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3. Zdolności manualne</w:t>
      </w:r>
    </w:p>
    <w:p w:rsidR="00000000" w:rsidDel="00000000" w:rsidP="00000000" w:rsidRDefault="00000000" w:rsidRPr="00000000" w14:paraId="00000016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4. Dobra organizacja pracy</w:t>
      </w:r>
    </w:p>
    <w:p w:rsidR="00000000" w:rsidDel="00000000" w:rsidP="00000000" w:rsidRDefault="00000000" w:rsidRPr="00000000" w14:paraId="00000017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5. Zaangażowanie i chęć rozwijania się</w:t>
      </w:r>
    </w:p>
    <w:p w:rsidR="00000000" w:rsidDel="00000000" w:rsidP="00000000" w:rsidRDefault="00000000" w:rsidRPr="00000000" w14:paraId="00000018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6. Dyspozycyjność (gotowość do pracy w różnych godzinach - jeśli będzie tego wymagała sytuacja)</w:t>
      </w:r>
    </w:p>
    <w:p w:rsidR="00000000" w:rsidDel="00000000" w:rsidP="00000000" w:rsidRDefault="00000000" w:rsidRPr="00000000" w14:paraId="00000019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7. Prawo jazdy kat. B</w:t>
      </w:r>
    </w:p>
    <w:p w:rsidR="00000000" w:rsidDel="00000000" w:rsidP="00000000" w:rsidRDefault="00000000" w:rsidRPr="00000000" w14:paraId="0000001A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Co oferujemy:</w:t>
      </w:r>
    </w:p>
    <w:p w:rsidR="00000000" w:rsidDel="00000000" w:rsidP="00000000" w:rsidRDefault="00000000" w:rsidRPr="00000000" w14:paraId="0000001C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1. Stabilne warunki zatrudnienia - umowa o pracę, po okresie próbnym</w:t>
      </w:r>
    </w:p>
    <w:p w:rsidR="00000000" w:rsidDel="00000000" w:rsidP="00000000" w:rsidRDefault="00000000" w:rsidRPr="00000000" w14:paraId="0000001D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2. Możliwość rozwoju i szkoleń</w:t>
      </w:r>
    </w:p>
    <w:p w:rsidR="00000000" w:rsidDel="00000000" w:rsidP="00000000" w:rsidRDefault="00000000" w:rsidRPr="00000000" w14:paraId="0000001E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3. Możliwość awansu</w:t>
      </w:r>
    </w:p>
    <w:p w:rsidR="00000000" w:rsidDel="00000000" w:rsidP="00000000" w:rsidRDefault="00000000" w:rsidRPr="00000000" w14:paraId="0000001F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Miejsce pracy: Kraków/ ul. Kocmyrzowska</w:t>
      </w:r>
    </w:p>
    <w:p w:rsidR="00000000" w:rsidDel="00000000" w:rsidP="00000000" w:rsidRDefault="00000000" w:rsidRPr="00000000" w14:paraId="00000021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Osoby zainteresowane prosimy o wysłanie CV na adres: </w:t>
      </w:r>
      <w:r w:rsidDel="00000000" w:rsidR="00000000" w:rsidRPr="00000000">
        <w:rPr>
          <w:rFonts w:ascii="Tahoma" w:cs="Tahoma" w:eastAsia="Tahoma" w:hAnsi="Tahoma"/>
          <w:color w:val="1155cc"/>
          <w:sz w:val="21"/>
          <w:szCs w:val="21"/>
          <w:rtl w:val="0"/>
        </w:rPr>
        <w:t xml:space="preserve">biuro@visualsupport.pl</w:t>
      </w: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 wraz z dopiskiem wybranego stanowiska</w:t>
      </w:r>
    </w:p>
    <w:p w:rsidR="00000000" w:rsidDel="00000000" w:rsidP="00000000" w:rsidRDefault="00000000" w:rsidRPr="00000000" w14:paraId="00000023">
      <w:pPr>
        <w:shd w:fill="ffffff" w:val="clear"/>
        <w:rPr>
          <w:rFonts w:ascii="Tahoma" w:cs="Tahoma" w:eastAsia="Tahoma" w:hAnsi="Tahoma"/>
          <w:color w:val="333333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color w:val="333333"/>
          <w:sz w:val="21"/>
          <w:szCs w:val="21"/>
          <w:rtl w:val="0"/>
        </w:rPr>
        <w:t xml:space="preserve">Zastrzegamy sobie prawo do kontaktu z wybranymi osobami.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Prosimy o zawarcie w CV klauzuli: „Wyrażam zgodę na przetwarzanie danych osobowych zawartych w mojej ofercie pracy dla potrzeb niezbędnych do realizacji procesu rekrutacji prowadzonego przez Visualsupport Michał Płócienniak, ul. Jesionowa 15/1, 30-221 Kraków, zgodnie z Ustawą z dnia 29 sierpnia 1997 r. o ochronie danych osobowych (tj. Dz. U. z 2014 r. poz. 1182, 1662)”.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Informujemy, że Administratorem danych jest Visualsupport Michał Płócienniak.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isualsupport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